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宋体" w:hAnsi="宋体" w:eastAsia="宋体" w:cs="宋体"/>
          <w:sz w:val="36"/>
          <w:szCs w:val="21"/>
          <w:lang w:val="en-US" w:eastAsia="zh-CN"/>
        </w:rPr>
      </w:pPr>
      <w:r>
        <w:rPr>
          <w:rFonts w:hint="eastAsia" w:ascii="宋体" w:hAnsi="宋体" w:eastAsia="宋体" w:cs="宋体"/>
          <w:sz w:val="36"/>
          <w:szCs w:val="21"/>
          <w:lang w:val="en-US" w:eastAsia="zh-CN"/>
        </w:rPr>
        <w:t>教务系统免修免考（学习中心）操作手册</w:t>
      </w:r>
      <w:bookmarkStart w:id="0" w:name="_GoBack"/>
      <w:bookmarkEnd w:id="0"/>
    </w:p>
    <w:p>
      <w:pPr>
        <w:pStyle w:val="2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sz w:val="32"/>
          <w:szCs w:val="20"/>
          <w:lang w:val="en-US" w:eastAsia="zh-CN"/>
        </w:rPr>
      </w:pPr>
      <w:r>
        <w:rPr>
          <w:rFonts w:hint="eastAsia"/>
          <w:sz w:val="32"/>
          <w:szCs w:val="20"/>
          <w:lang w:val="en-US" w:eastAsia="zh-CN"/>
        </w:rPr>
        <w:t>免修免考管理</w:t>
      </w:r>
    </w:p>
    <w:p>
      <w:pPr>
        <w:pStyle w:val="3"/>
        <w:numPr>
          <w:ilvl w:val="0"/>
          <w:numId w:val="3"/>
        </w:numPr>
        <w:bidi w:val="0"/>
        <w:rPr>
          <w:rFonts w:hint="eastAsia" w:ascii="宋体" w:hAnsi="宋体" w:eastAsia="宋体" w:cs="宋体"/>
          <w:b/>
          <w:sz w:val="28"/>
          <w:szCs w:val="22"/>
          <w:lang w:val="en-US" w:eastAsia="zh-CN"/>
        </w:rPr>
      </w:pPr>
      <w:r>
        <w:rPr>
          <w:rFonts w:hint="eastAsia" w:ascii="宋体" w:hAnsi="宋体" w:cs="宋体"/>
          <w:b/>
          <w:sz w:val="28"/>
          <w:szCs w:val="22"/>
          <w:lang w:val="en-US" w:eastAsia="zh-CN"/>
        </w:rPr>
        <w:t>免修免考</w:t>
      </w:r>
      <w:r>
        <w:rPr>
          <w:rFonts w:hint="eastAsia" w:ascii="宋体" w:hAnsi="宋体" w:eastAsia="宋体" w:cs="宋体"/>
          <w:b/>
          <w:sz w:val="28"/>
          <w:szCs w:val="22"/>
          <w:lang w:val="en-US" w:eastAsia="zh-CN"/>
        </w:rPr>
        <w:t>申请</w:t>
      </w:r>
    </w:p>
    <w:p>
      <w:pPr>
        <w:pStyle w:val="20"/>
        <w:bidi w:val="0"/>
        <w:ind w:firstLine="42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点击左侧</w:t>
      </w:r>
      <w:r>
        <w:rPr>
          <w:rFonts w:hint="eastAsia"/>
          <w:color w:val="FF0000"/>
          <w:sz w:val="24"/>
          <w:szCs w:val="24"/>
          <w:highlight w:val="lightGray"/>
          <w:lang w:val="en-US" w:eastAsia="zh-CN"/>
        </w:rPr>
        <w:t>免修免考申请</w:t>
      </w:r>
      <w:r>
        <w:rPr>
          <w:rFonts w:hint="eastAsia"/>
          <w:sz w:val="24"/>
          <w:szCs w:val="24"/>
          <w:lang w:val="en-US" w:eastAsia="zh-CN"/>
        </w:rPr>
        <w:t>按钮，进入免修免考申请页面，点击新增显示学生信息，点击学生信息后面的免修免考按钮，进入学生课程信息页面，查看和发起申请。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（免修免考课程的学分比例最高不超过最低毕业所修课程（不含综合实践环节）总学分的40%）</w:t>
      </w:r>
    </w:p>
    <w:p>
      <w:pPr>
        <w:pStyle w:val="20"/>
        <w:bidi w:val="0"/>
        <w:ind w:firstLine="420" w:firstLineChars="0"/>
      </w:pPr>
      <w:r>
        <w:drawing>
          <wp:inline distT="0" distB="0" distL="114300" distR="114300">
            <wp:extent cx="5262880" cy="1948180"/>
            <wp:effectExtent l="0" t="0" r="1397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94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bidi w:val="0"/>
        <w:ind w:firstLine="42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2113915"/>
            <wp:effectExtent l="0" t="0" r="1143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bidi w:val="0"/>
        <w:spacing w:line="240" w:lineRule="auto"/>
        <w:jc w:val="both"/>
      </w:pPr>
    </w:p>
    <w:p>
      <w:pPr>
        <w:pStyle w:val="3"/>
        <w:numPr>
          <w:ilvl w:val="0"/>
          <w:numId w:val="3"/>
        </w:numPr>
        <w:bidi w:val="0"/>
        <w:spacing w:line="240" w:lineRule="auto"/>
        <w:rPr>
          <w:rFonts w:hint="default"/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免修免考查询</w:t>
      </w:r>
    </w:p>
    <w:p>
      <w:pPr>
        <w:ind w:firstLine="420" w:firstLineChars="0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点击左侧</w:t>
      </w:r>
      <w:r>
        <w:rPr>
          <w:rFonts w:hint="eastAsia"/>
          <w:color w:val="FF0000"/>
          <w:sz w:val="24"/>
          <w:szCs w:val="24"/>
          <w:highlight w:val="lightGray"/>
          <w:lang w:val="en-US" w:eastAsia="zh-CN"/>
        </w:rPr>
        <w:t>免修免考查询</w:t>
      </w:r>
      <w:r>
        <w:rPr>
          <w:rFonts w:hint="eastAsia"/>
          <w:sz w:val="24"/>
          <w:szCs w:val="24"/>
          <w:lang w:val="en-US" w:eastAsia="zh-CN"/>
        </w:rPr>
        <w:t>按钮，进入查询界面，可以查询学院上报的免修免考数据审批状态，该页面可以申请删除免修免考的申请记录和导出免修免考数据</w:t>
      </w:r>
      <w:r>
        <w:rPr>
          <w:rFonts w:hint="eastAsia"/>
          <w:color w:val="FF0000"/>
          <w:sz w:val="24"/>
          <w:szCs w:val="24"/>
          <w:lang w:val="en-US" w:eastAsia="zh-CN"/>
        </w:rPr>
        <w:t>（只能选择审核通过且未申请删除的数据）</w:t>
      </w:r>
    </w:p>
    <w:p>
      <w:pPr>
        <w:rPr>
          <w:rFonts w:hint="eastAsia"/>
          <w:color w:val="FF0000"/>
          <w:sz w:val="28"/>
          <w:szCs w:val="22"/>
          <w:lang w:val="en-US" w:eastAsia="zh-CN"/>
        </w:rPr>
      </w:pPr>
    </w:p>
    <w:p>
      <w:r>
        <w:drawing>
          <wp:inline distT="0" distB="0" distL="114300" distR="114300">
            <wp:extent cx="5272405" cy="2409825"/>
            <wp:effectExtent l="0" t="0" r="444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  <w:szCs w:val="21"/>
        </w:rPr>
      </w:pPr>
      <w:r>
        <w:rPr>
          <w:rFonts w:hint="eastAsia"/>
          <w:sz w:val="28"/>
          <w:szCs w:val="22"/>
          <w:lang w:val="en-US" w:eastAsia="zh-CN"/>
        </w:rPr>
        <w:t>查询</w:t>
      </w:r>
    </w:p>
    <w:p>
      <w:r>
        <w:drawing>
          <wp:inline distT="0" distB="0" distL="114300" distR="114300">
            <wp:extent cx="5273040" cy="2469515"/>
            <wp:effectExtent l="0" t="0" r="381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导出</w:t>
      </w:r>
    </w:p>
    <w:p>
      <w:r>
        <w:drawing>
          <wp:inline distT="0" distB="0" distL="114300" distR="114300">
            <wp:extent cx="5272405" cy="2750820"/>
            <wp:effectExtent l="0" t="0" r="444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申请删除</w:t>
      </w:r>
    </w:p>
    <w:p>
      <w:pPr>
        <w:pStyle w:val="20"/>
        <w:bidi w:val="0"/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FF39A"/>
    <w:multiLevelType w:val="singleLevel"/>
    <w:tmpl w:val="B7EFF39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</w:rPr>
    </w:lvl>
  </w:abstractNum>
  <w:abstractNum w:abstractNumId="1">
    <w:nsid w:val="DE4C3003"/>
    <w:multiLevelType w:val="singleLevel"/>
    <w:tmpl w:val="DE4C3003"/>
    <w:lvl w:ilvl="0" w:tentative="0">
      <w:start w:val="1"/>
      <w:numFmt w:val="bullet"/>
      <w:pStyle w:val="9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2">
    <w:nsid w:val="0F85BEAC"/>
    <w:multiLevelType w:val="singleLevel"/>
    <w:tmpl w:val="0F85BE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03CC1"/>
    <w:rsid w:val="03A371D6"/>
    <w:rsid w:val="0AEA1B0A"/>
    <w:rsid w:val="0AF47408"/>
    <w:rsid w:val="0E797234"/>
    <w:rsid w:val="0F6B4F5E"/>
    <w:rsid w:val="11FD3997"/>
    <w:rsid w:val="23585DCE"/>
    <w:rsid w:val="26EB7CA2"/>
    <w:rsid w:val="307172A2"/>
    <w:rsid w:val="326567B0"/>
    <w:rsid w:val="33D76861"/>
    <w:rsid w:val="364E3DFE"/>
    <w:rsid w:val="371B197E"/>
    <w:rsid w:val="44555441"/>
    <w:rsid w:val="46764C45"/>
    <w:rsid w:val="4B06608F"/>
    <w:rsid w:val="4E037B73"/>
    <w:rsid w:val="505A1477"/>
    <w:rsid w:val="575B6749"/>
    <w:rsid w:val="58262129"/>
    <w:rsid w:val="5E5D0CC9"/>
    <w:rsid w:val="6C003CC1"/>
    <w:rsid w:val="6FF8002A"/>
    <w:rsid w:val="768C271A"/>
    <w:rsid w:val="7BE0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beforeAutospacing="0" w:after="12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宋体" w:asciiTheme="minorAscii" w:hAnsiTheme="minorAscii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9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qFormat/>
    <w:uiPriority w:val="0"/>
    <w:rPr>
      <w:rFonts w:ascii="Times New Roman" w:hAnsi="Times New Roman" w:eastAsia="宋体"/>
      <w:sz w:val="21"/>
    </w:rPr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envelope address"/>
    <w:basedOn w:val="1"/>
    <w:qFormat/>
    <w:uiPriority w:val="0"/>
    <w:pPr>
      <w:snapToGrid w:val="0"/>
      <w:ind w:left="100" w:leftChars="1400"/>
    </w:pPr>
    <w:rPr>
      <w:rFonts w:ascii="Arial" w:hAnsi="Arial"/>
      <w:sz w:val="24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List Bullet 5"/>
    <w:basedOn w:val="1"/>
    <w:qFormat/>
    <w:uiPriority w:val="0"/>
    <w:pPr>
      <w:numPr>
        <w:ilvl w:val="0"/>
        <w:numId w:val="1"/>
      </w:numPr>
    </w:p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alloon Text"/>
    <w:basedOn w:val="1"/>
    <w:qFormat/>
    <w:uiPriority w:val="0"/>
    <w:rPr>
      <w:sz w:val="18"/>
    </w:rPr>
  </w:style>
  <w:style w:type="paragraph" w:styleId="12">
    <w:name w:val="Signature"/>
    <w:basedOn w:val="1"/>
    <w:qFormat/>
    <w:uiPriority w:val="0"/>
    <w:pPr>
      <w:ind w:left="100" w:leftChars="2100"/>
    </w:pPr>
  </w:style>
  <w:style w:type="paragraph" w:styleId="13">
    <w:name w:val="Normal (Web)"/>
    <w:basedOn w:val="1"/>
    <w:qFormat/>
    <w:uiPriority w:val="0"/>
    <w:rPr>
      <w:sz w:val="24"/>
    </w:rPr>
  </w:style>
  <w:style w:type="paragraph" w:styleId="14">
    <w:name w:val="index 1"/>
    <w:basedOn w:val="1"/>
    <w:next w:val="1"/>
    <w:qFormat/>
    <w:uiPriority w:val="0"/>
  </w:style>
  <w:style w:type="paragraph" w:styleId="15">
    <w:name w:val="annotation subject"/>
    <w:basedOn w:val="8"/>
    <w:next w:val="8"/>
    <w:qFormat/>
    <w:uiPriority w:val="0"/>
    <w:rPr>
      <w:b/>
    </w:rPr>
  </w:style>
  <w:style w:type="character" w:styleId="18">
    <w:name w:val="Emphasis"/>
    <w:basedOn w:val="17"/>
    <w:qFormat/>
    <w:uiPriority w:val="0"/>
    <w:rPr>
      <w:i/>
    </w:rPr>
  </w:style>
  <w:style w:type="character" w:styleId="19">
    <w:name w:val="annotation reference"/>
    <w:basedOn w:val="17"/>
    <w:qFormat/>
    <w:uiPriority w:val="0"/>
    <w:rPr>
      <w:sz w:val="21"/>
    </w:rPr>
  </w:style>
  <w:style w:type="paragraph" w:customStyle="1" w:styleId="20">
    <w:name w:val="样式1"/>
    <w:basedOn w:val="1"/>
    <w:qFormat/>
    <w:uiPriority w:val="0"/>
    <w:rPr>
      <w:rFonts w:hint="eastAsia" w:ascii="宋体" w:hAnsi="宋体" w:eastAsia="宋体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2022-07-22T01:10:00Z</dcterms:created>
  <dc:creator>凌晨</dc:creator>
  <cp:lastModifiedBy>凌晨</cp:lastModifiedBy>
  <dcterms:modified xsi:type="dcterms:W3CDTF">2022-08-04T01:23:09Z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0F8F3039EB2D4A9FA99A3C5D725F6DBE</vt:lpwstr>
  </property>
</Properties>
</file>